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2D" w:rsidRPr="001D2072" w:rsidRDefault="00157D2D" w:rsidP="00157D2D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1.Пояснительная записка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2474"/>
      </w:tblGrid>
      <w:tr w:rsidR="00157D2D" w:rsidRPr="001D2072" w:rsidTr="00A92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F5388C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t xml:space="preserve">Сведения о примерной программе по учебному предмету, на основе которой разработана рабочая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наименования, автора и года издания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F5388C" w:rsidRDefault="00157D2D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t>Примерная рабочая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разработанная на основе Программы Министерства Образования Российской Федерации по второму иностранному языку.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Селиванова.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:rsidR="00157D2D" w:rsidRPr="00F5388C" w:rsidRDefault="00157D2D" w:rsidP="00A9266D">
            <w:pPr>
              <w:pStyle w:val="a3"/>
            </w:pPr>
          </w:p>
        </w:tc>
      </w:tr>
      <w:tr w:rsidR="00157D2D" w:rsidRPr="001D2072" w:rsidTr="00A92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F5388C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88C">
              <w:rPr>
                <w:rFonts w:ascii="Times New Roman" w:hAnsi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Береговская Э.М. Французский язык. Второй иностранный язык. 9 класс. Учебник для общеобразовательных организаций. В 2 ч.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/Э. М. Береговской,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Белосельской </w:t>
            </w:r>
            <w:r>
              <w:rPr>
                <w:rFonts w:ascii="Times New Roman" w:hAnsi="Times New Roman"/>
                <w:sz w:val="24"/>
                <w:szCs w:val="24"/>
              </w:rPr>
              <w:t>/ –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.: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 «Просвещение»,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57D2D" w:rsidRPr="00F5388C" w:rsidRDefault="00157D2D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2D" w:rsidRPr="001D2072" w:rsidTr="00A9266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F5388C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F5388C" w:rsidRDefault="00157D2D" w:rsidP="00A926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94C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ПЛАНИРУЕМЫЕ РЕЗУЛЬТАТЫ ИЗУЧЕНИЯ УЧЕБНОГО ПРЕДМЕТА</w:t>
            </w:r>
          </w:p>
        </w:tc>
      </w:tr>
      <w:tr w:rsidR="00157D2D" w:rsidRPr="001D2072" w:rsidTr="00A9266D">
        <w:trPr>
          <w:trHeight w:val="1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F5388C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Планируемые </w:t>
            </w:r>
          </w:p>
          <w:p w:rsidR="00157D2D" w:rsidRPr="00F5388C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езультаты  </w:t>
            </w:r>
            <w:r>
              <w:rPr>
                <w:rFonts w:ascii="Times New Roman" w:hAnsi="Times New Roman"/>
                <w:sz w:val="24"/>
                <w:szCs w:val="24"/>
              </w:rPr>
              <w:t>освое</w:t>
            </w:r>
            <w:r w:rsidRPr="00F5388C">
              <w:rPr>
                <w:rFonts w:ascii="Times New Roman" w:hAnsi="Times New Roman"/>
                <w:sz w:val="24"/>
                <w:szCs w:val="24"/>
              </w:rPr>
              <w:t xml:space="preserve">ния учебного предмета </w:t>
            </w:r>
          </w:p>
        </w:tc>
        <w:tc>
          <w:tcPr>
            <w:tcW w:w="1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Личностные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интериоризация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      </w:r>
            <w:proofErr w:type="gram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потребительстве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;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представлений об основах светской этики, культуры традиционных религий, их роли в развитии культуры и истории </w:t>
            </w: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России и человечества, в становлении гражданского общества и российской государственности;</w:t>
            </w:r>
            <w:proofErr w:type="gram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понимание значения нравственности, веры и религии в жизни человека, семьи и общества).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4.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Сформированность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конвенционирования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интересов, процедур, готовность и способность к ведению переговоров).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6. Освоенность социальных норм, правил поведения, ролей и форм социальной жизни в группах и сообществах. </w:t>
            </w:r>
            <w:proofErr w:type="gram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      </w:r>
            <w:proofErr w:type="gram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интериоризация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      </w:r>
            <w:proofErr w:type="gramEnd"/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276A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Метапредметные</w:t>
            </w:r>
            <w:proofErr w:type="spellEnd"/>
            <w:r w:rsidRPr="000276A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результаты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</w:p>
          <w:p w:rsidR="00157D2D" w:rsidRPr="000276A0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Метапредметные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результаты включают освоенные </w:t>
            </w:r>
            <w:proofErr w:type="gram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обучающимися</w:t>
            </w:r>
            <w:proofErr w:type="gram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понятия и универсальные учебные </w:t>
            </w:r>
            <w:proofErr w:type="spellStart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>действия</w:t>
            </w:r>
            <w:proofErr w:type="spellEnd"/>
            <w:r w:rsidRPr="000276A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(регулятивные, познавательные, коммуникативные).</w:t>
            </w:r>
          </w:p>
          <w:p w:rsidR="00157D2D" w:rsidRPr="00710CD9" w:rsidRDefault="00157D2D" w:rsidP="00A9266D">
            <w:pPr>
              <w:tabs>
                <w:tab w:val="left" w:pos="1146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710C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Межпредметные</w:t>
            </w:r>
            <w:proofErr w:type="spellEnd"/>
            <w:r w:rsidRPr="00710CD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понятия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Условием формирования </w:t>
            </w:r>
            <w:proofErr w:type="spellStart"/>
            <w:r w:rsidRPr="006A3262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6A3262">
              <w:rPr>
                <w:rFonts w:ascii="Times New Roman" w:hAnsi="Times New Roman"/>
                <w:sz w:val="24"/>
                <w:szCs w:val="24"/>
              </w:rPr>
              <w:t xml:space="preserve"> понятий, например,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етенции. Обучающиеся овладеют </w:t>
            </w:r>
            <w:r w:rsidRPr="006A3262">
              <w:rPr>
                <w:rFonts w:ascii="Times New Roman" w:hAnsi="Times New Roman"/>
                <w:sz w:val="24"/>
                <w:szCs w:val="24"/>
              </w:rPr>
              <w:t xml:space="preserve">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числе, </w:t>
            </w:r>
            <w:proofErr w:type="spellStart"/>
            <w:r w:rsidRPr="006A3262">
              <w:rPr>
                <w:rFonts w:ascii="Times New Roman" w:hAnsi="Times New Roman"/>
                <w:sz w:val="24"/>
                <w:szCs w:val="24"/>
              </w:rPr>
              <w:t>досугового</w:t>
            </w:r>
            <w:proofErr w:type="spellEnd"/>
            <w:r w:rsidRPr="006A3262">
              <w:rPr>
                <w:rFonts w:ascii="Times New Roman" w:hAnsi="Times New Roman"/>
                <w:sz w:val="24"/>
                <w:szCs w:val="24"/>
              </w:rPr>
              <w:t xml:space="preserve">, подготовки к трудовой и социальной деятельности. У выпускников будет сформирована потребность в систематическом чтении как средстве </w:t>
            </w:r>
            <w:r w:rsidRPr="006A32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познания мира и себя в этом мире, гармонизации отношений человека и общества, создании образа «потребного будущего». 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                                                                                                                                                                                                           • систематизировать, сопоставлять, анализировать, обобщать и интерпретировать информацию, содержащуюся в готовых информационных объектах;                                                                                                                                                             • 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                              • заполнять и дополнять таблицы, схемы, диаграммы, тексты. </w:t>
            </w:r>
            <w:proofErr w:type="gramStart"/>
            <w:r w:rsidRPr="006A3262">
              <w:rPr>
                <w:rFonts w:ascii="Times New Roman" w:hAnsi="Times New Roman"/>
                <w:sz w:val="24"/>
                <w:szCs w:val="24"/>
              </w:rPr>
      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      </w:r>
            <w:proofErr w:type="gramEnd"/>
            <w:r w:rsidRPr="006A3262">
              <w:rPr>
                <w:rFonts w:ascii="Times New Roman" w:hAnsi="Times New Roman"/>
                <w:sz w:val="24"/>
                <w:szCs w:val="24"/>
              </w:rPr>
      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В соответствии ФГОС ООО выделяются три группы универсальных учебных действий: регулятивные, познавательные, коммуникативные.           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A3262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A326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6A3262">
              <w:rPr>
                <w:rFonts w:ascii="Times New Roman" w:hAnsi="Times New Roman"/>
                <w:sz w:val="24"/>
                <w:szCs w:val="24"/>
              </w:rPr>
              <w:t xml:space="preserve"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 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        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4. Умение оценивать правильность выполнения учебной задачи, собственные возможности ее решения.  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5. 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6A326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A3262">
              <w:rPr>
                <w:rFonts w:ascii="Times New Roman" w:hAnsi="Times New Roman"/>
                <w:sz w:val="24"/>
                <w:szCs w:val="24"/>
              </w:rPr>
              <w:t xml:space="preserve"> учебной и познавательной.                                                                                                                                                    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2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6.Умение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6A3262">
              <w:rPr>
                <w:rFonts w:ascii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6A3262">
              <w:rPr>
                <w:rFonts w:ascii="Times New Roman" w:hAnsi="Times New Roman"/>
                <w:sz w:val="24"/>
                <w:szCs w:val="24"/>
              </w:rPr>
              <w:t xml:space="preserve">, умозаключение (индуктивное, дедуктивное, по аналогии) и делать выводы.                                    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7. Умение создавать, применять и преобразовывать знаки и символы, модели и схемы для решения учебных и </w:t>
            </w:r>
            <w:r w:rsidRPr="006A32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познавательных задач.                                                                                                                                          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8. Смысловое чтение.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                                                                                    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10. Развитие мотивации к овладению культурой активного использования словарей и других поисковых систем.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</w:pPr>
            <w:r w:rsidRPr="006A3262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A326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6A3262">
              <w:rPr>
                <w:rFonts w:ascii="Times New Roman" w:hAnsi="Times New Roman"/>
                <w:sz w:val="24"/>
                <w:szCs w:val="24"/>
              </w:rPr>
              <w:t xml:space="preserve"> 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                                                                                                    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 xml:space="preserve"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3262">
              <w:rPr>
                <w:rFonts w:ascii="Times New Roman" w:hAnsi="Times New Roman"/>
                <w:sz w:val="24"/>
                <w:szCs w:val="24"/>
              </w:rPr>
              <w:t>13. Формирование и развитие компетентности в области использования информационно-коммуникационных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262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6A32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ы:</w:t>
            </w:r>
          </w:p>
          <w:p w:rsidR="00157D2D" w:rsidRPr="00B93D8A" w:rsidRDefault="00157D2D" w:rsidP="00A9266D">
            <w:pPr>
              <w:tabs>
                <w:tab w:val="left" w:pos="93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 умения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57D2D" w:rsidRPr="00B93D8A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>Говорение. Диалогическая речь.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 Выпускник научится: вести диалог (диалог этикетного характера, диалог–расспрос,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Выпускник получит возможность научиться: вести диалог-обмен мнениями; брать и давать интервью; вести диалог-расспрос на основе нелинейного текста (таблицы, диаграммы и т. д.). Говорение. Монологическая речь Выпускник научится: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описывать события с опорой на зрительную наглядность и/или вербальную опору (ключевые слова, план, вопросы); давать краткую характеристику реальных людей и литературных персонажей; передавать основное содержание прочитанного текста с опорой или без опоры на текст, ключевые слова/ план/ вопросы; описывать картинку/ фото с опорой или без опоры на ключевые слова/ план/ вопросы. </w:t>
            </w:r>
            <w:proofErr w:type="gram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Выпускник получит возможность научиться: делать сообщение на заданную тему на основе прочитанного; комментировать факты из прочитанного/ прослушанного текста, выражать и аргументировать свое отношение к прочитанному/ прослушанному; кратко высказываться без предварительной подготовки на заданную тему в соответствии с предложенной ситуацией общения; кратко высказываться с опорой на нелинейный текст (таблицы, диаграммы, расписание и т. п.);</w:t>
            </w:r>
            <w:proofErr w:type="gramEnd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 кратко излагать результаты выполненной проектной работы.</w:t>
            </w:r>
          </w:p>
          <w:p w:rsidR="00157D2D" w:rsidRPr="00B93D8A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Выпускник научится: воспринимать на слух и понимать основное содержание несложных аутентичных текстов, содержащих некоторое количество неизученных языковых явлений; 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 Выпускник получит возможность научиться: выделять основную тему в воспринимаемом на слух тексте; использовать контекстуальную или языковую догадку при восприятии на слух текстов, содержащих незнакомые слова. </w:t>
            </w:r>
          </w:p>
          <w:p w:rsidR="00157D2D" w:rsidRPr="00B93D8A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>Чтение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57D2D" w:rsidRPr="006A3262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Выпускник научится: читать и понимать основное содержание несложных аутентичных текстов, содержащие отдельные неизученные языковые явления; 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 читать и полностью понимать несложные аутентичные тексты, построенные на изученном языковом материале; 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прочитанного</w:t>
            </w:r>
            <w:proofErr w:type="gramEnd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. Выпускник получит возможность научиться: устанавливать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добавления выпущенных фрагментов. </w:t>
            </w:r>
          </w:p>
          <w:p w:rsidR="00157D2D" w:rsidRPr="00B93D8A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Письменная речь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B93D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57D2D" w:rsidRDefault="00157D2D" w:rsidP="00A9266D">
            <w:pPr>
              <w:tabs>
                <w:tab w:val="left" w:pos="930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Выпускник научится: заполнять анкеты и формуляры, сообщая о себе основные сведения (имя, фамилия, пол, возраст, гражданство, национальность, адрес и т. д.); 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      </w:r>
            <w:proofErr w:type="gramEnd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 писать небольшие письменные высказывания с опорой на образец/ план.</w:t>
            </w:r>
            <w:proofErr w:type="gramEnd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Выпускник получит возможность научиться: делать краткие выписки из текста с целью их использования в собственных устных высказываниях; писать электронное письмо (</w:t>
            </w:r>
            <w:proofErr w:type="spell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e-mail</w:t>
            </w:r>
            <w:proofErr w:type="spellEnd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) зарубежному другу в ответ на электронное </w:t>
            </w:r>
            <w:proofErr w:type="spellStart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>письмостимул</w:t>
            </w:r>
            <w:proofErr w:type="spellEnd"/>
            <w:r w:rsidRPr="006A3262">
              <w:rPr>
                <w:rFonts w:ascii="Times New Roman" w:hAnsi="Times New Roman"/>
                <w:bCs/>
                <w:sz w:val="24"/>
                <w:szCs w:val="24"/>
              </w:rPr>
              <w:t xml:space="preserve">; составлять план/ тезисы устного или письменного сообщения; кратко излагать в письменном виде результаты проектной деятельности; писать небольшое письменное высказывание с опорой на нелинейный текст (таблицы, диаграммы и т. п.). </w:t>
            </w:r>
            <w:proofErr w:type="gramEnd"/>
          </w:p>
          <w:p w:rsidR="00157D2D" w:rsidRPr="00B93D8A" w:rsidRDefault="00157D2D" w:rsidP="00A9266D">
            <w:pPr>
              <w:spacing w:after="0" w:line="360" w:lineRule="auto"/>
              <w:ind w:firstLine="454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93D8A">
              <w:rPr>
                <w:rFonts w:ascii="Times New Roman" w:hAnsi="Times New Roman"/>
                <w:b/>
                <w:noProof/>
                <w:sz w:val="24"/>
                <w:szCs w:val="24"/>
              </w:rPr>
              <w:t>Языковые средства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  <w:p w:rsidR="00157D2D" w:rsidRPr="00710CD9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710CD9"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Лексическая сторона речи</w:t>
            </w:r>
            <w:r>
              <w:rPr>
                <w:rFonts w:ascii="Times New Roman" w:hAnsi="Times New Roman"/>
                <w:b/>
                <w:bCs/>
                <w:iCs/>
                <w:noProof/>
                <w:sz w:val="24"/>
                <w:szCs w:val="24"/>
              </w:rPr>
              <w:t>.</w:t>
            </w:r>
          </w:p>
          <w:p w:rsidR="00157D2D" w:rsidRPr="00B93D8A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sz w:val="24"/>
                <w:szCs w:val="24"/>
              </w:rPr>
              <w:t xml:space="preserve">Овладение лексическими единицами, обслуживающими темы, проблемы и ситуации общения в пределах тематики основной школы, в объёме 1200 единиц. Лексические единицы включают устойчивые словосочетания, оценочную лексику, реплики-клише речевого этикета, отражающие культуру  франкоязычных стран. </w:t>
            </w:r>
          </w:p>
          <w:p w:rsidR="00157D2D" w:rsidRPr="00B93D8A" w:rsidRDefault="00157D2D" w:rsidP="00A926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Расширение потенциального словаря за счёт интернациональной лексики и навыков овладения новыми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lastRenderedPageBreak/>
              <w:t>словообразовательными средствами:</w:t>
            </w:r>
          </w:p>
          <w:p w:rsidR="00157D2D" w:rsidRPr="00B93D8A" w:rsidRDefault="00157D2D" w:rsidP="00A9266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c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уффиксация: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                      </w:t>
            </w:r>
          </w:p>
          <w:p w:rsidR="00157D2D" w:rsidRPr="00B93D8A" w:rsidRDefault="00157D2D" w:rsidP="00A926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c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уществительных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суффиксами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: -tion, sion (collection, 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é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vision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); -ement (appartement); -eur (ordinateur); -ure(signature); ette (bicyclette, disquette); -ique (gymnastique); -iste, -isme (journaliste, tourisme); -er/ ère (boulanger/ boulangère); -ien/ ienne (pharmacien/ pharmacienne); -erie (parfumerie); -ence, -ance (préférence, confiance); -aire (questionnaire); - oir, -oire (couloirs,    mémoire); -age ( bricolage); -té (activité); -ude (attitude); -aison (comparaison); - esse (jeunesse); -ure (ouverture); -ise (friandise);</w:t>
            </w:r>
          </w:p>
          <w:p w:rsidR="00157D2D" w:rsidRPr="00B93D8A" w:rsidRDefault="00157D2D" w:rsidP="00A926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наречий с суффиксом –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ment;</w:t>
            </w:r>
          </w:p>
          <w:p w:rsidR="00157D2D" w:rsidRPr="00B93D8A" w:rsidRDefault="00157D2D" w:rsidP="00A926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прилагательных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с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суффиксами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: -eur/-euse (heureux/ heureuse); -ique (sympatique); -ant (intéressant); -ain (américain); -ais (français); -ois (chinois); -ien (parisien); -able/ -ible (vivable, lisible); -el/-elle, -al/-ale,-ile,  -il/ille (professionel, genial, difficile, gentil); -eau/ -elle ( nouveau/ nouvelle); -aire (planétaire); -atif/ -ative (imaginative);</w:t>
            </w:r>
          </w:p>
          <w:p w:rsidR="00157D2D" w:rsidRPr="00B93D8A" w:rsidRDefault="00157D2D" w:rsidP="00A926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префиксация: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ind w:left="454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ind w:left="1174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ind w:left="454" w:firstLine="251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существительных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,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прилагательных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и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глаголов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: in-, im-, il- (inconnu,impossible, illisible); d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é- (départ, décourager); dis- (disparaître); re-, ré- (refaire, reviser); pré- (prévenir); mé- (méfiant); a- (asymétrique); extra- (extraordinaire); anti- (antiride);</w:t>
            </w:r>
          </w:p>
          <w:p w:rsidR="00157D2D" w:rsidRPr="00B93D8A" w:rsidRDefault="00157D2D" w:rsidP="00A9266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словосложение: существительное + существительное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carte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); существительное + предлог + существительное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sac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à-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dos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); прилагательное + существительное (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cybercaf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é); глагол + местоимение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rendez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-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vous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); глагол+ существительное (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pass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é-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temps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); предлог + существительное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sous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-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sol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);</w:t>
            </w:r>
          </w:p>
          <w:p w:rsidR="00157D2D" w:rsidRPr="00B93D8A" w:rsidRDefault="00157D2D" w:rsidP="00A92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proofErr w:type="gramStart"/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конверсия  (образование существительных от неопределённой формы глагола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conseiller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un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conseil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).</w:t>
            </w:r>
            <w:proofErr w:type="gramEnd"/>
          </w:p>
          <w:p w:rsidR="00157D2D" w:rsidRPr="00B93D8A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Представление о синонимии, антонимии, лексической сочетаемости, многозначности.</w:t>
            </w:r>
            <w:r w:rsidRPr="00B93D8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157D2D" w:rsidRPr="00710CD9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D9">
              <w:rPr>
                <w:rFonts w:ascii="Times New Roman" w:hAnsi="Times New Roman"/>
                <w:b/>
                <w:noProof/>
                <w:sz w:val="24"/>
                <w:szCs w:val="24"/>
              </w:rPr>
              <w:t>Графика и орфография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  <w:p w:rsidR="00157D2D" w:rsidRPr="00B93D8A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sz w:val="24"/>
                <w:szCs w:val="24"/>
              </w:rPr>
              <w:t>Знания правил чтения и написания новых слов, отобранных для данного этапа обучения, и умение их употребления в речи.</w:t>
            </w:r>
          </w:p>
          <w:p w:rsidR="00157D2D" w:rsidRPr="00710CD9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D9">
              <w:rPr>
                <w:rFonts w:ascii="Times New Roman" w:hAnsi="Times New Roman"/>
                <w:b/>
                <w:noProof/>
                <w:sz w:val="24"/>
                <w:szCs w:val="24"/>
              </w:rPr>
              <w:t>Фонетическая сторона речи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</w:p>
          <w:p w:rsidR="00157D2D" w:rsidRPr="00B93D8A" w:rsidRDefault="00157D2D" w:rsidP="00A9266D">
            <w:pPr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sz w:val="24"/>
                <w:szCs w:val="24"/>
              </w:rPr>
              <w:t>Умения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адекватного произношения и различения на слух всех звуков французского языка; соблюдение правильного ударения в словах и фразах; членение предложений на смысловые группы; соблюдение интонации в различных типах предложений.</w:t>
            </w:r>
          </w:p>
          <w:p w:rsidR="00157D2D" w:rsidRPr="00710CD9" w:rsidRDefault="00157D2D" w:rsidP="00A92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710CD9">
              <w:rPr>
                <w:rFonts w:ascii="Times New Roman" w:eastAsia="Calibri" w:hAnsi="Times New Roman"/>
                <w:b/>
                <w:noProof/>
                <w:color w:val="000000"/>
                <w:sz w:val="24"/>
                <w:szCs w:val="24"/>
              </w:rPr>
              <w:t>Грамматическая сторона речи</w:t>
            </w:r>
            <w:r>
              <w:rPr>
                <w:rFonts w:ascii="Times New Roman" w:eastAsia="Calibri" w:hAnsi="Times New Roman"/>
                <w:b/>
                <w:noProof/>
                <w:color w:val="000000"/>
                <w:sz w:val="24"/>
                <w:szCs w:val="24"/>
              </w:rPr>
              <w:t>.</w:t>
            </w:r>
          </w:p>
          <w:p w:rsidR="00157D2D" w:rsidRPr="00B93D8A" w:rsidRDefault="00157D2D" w:rsidP="00A92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Овладение грамматическими явлениями: 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Нераспространённые и распространённые простые предложения. Безличные предложения. Предложения с неопределённо - личным местоимением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on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. Сложносочинённые предложения с союзами </w:t>
            </w: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o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ù,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mais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ni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…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ni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. </w:t>
            </w:r>
            <w:proofErr w:type="gramStart"/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Слоподчинённые предложения с придаточными дополнительными (союз 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), определительными (союзные слова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dont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,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o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ù), обстоятельственными (наиболее распространённые союзы, выражающие значение времени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quand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), места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o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ù), причины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parce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), следствия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ainsi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), цели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pour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).</w:t>
            </w:r>
            <w:proofErr w:type="gramEnd"/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Все типы вопросительных предложений. Прямой порядок слов и инверсия. Вопросительное прилагательное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;  вопросительные наречия 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o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ù,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quand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comment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pourquoi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;  вопросительные местоимения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quoi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lequel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. Отрицательные частицы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plus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jamais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rien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personne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.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t>Особенности употребления отрицаний перед неопределённой формой глагола 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'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infinitive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). Ограничительный оборот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ne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…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.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Временные формы изъявительного наклонения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'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indicatif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):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present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future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simple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future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immediat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pass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é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compos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é,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'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imparfait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plus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–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parfait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. Возвратные (местоименные) глаголы. Спряжение глаголов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 группы, распространённых глаголов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III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группы в изъявительном наклонении. Согласование причастия сложных форм глагола с подлежащим и прямым дополнением. Согласование времён в плане настоящего и прошедшего. Прямая и косвенная речь.</w:t>
            </w:r>
          </w:p>
          <w:p w:rsidR="00157D2D" w:rsidRPr="00B93D8A" w:rsidRDefault="00157D2D" w:rsidP="00A9266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93D8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Повелительное наклонение регулярных и распространённых нерегулярных глаголов в утвердительной и отрицательной форме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'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imp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ratif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). Временная форма условного наклонения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conditionnel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sent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 в простом и сложном предложении.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subjonctif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sent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регулярных и наиболее частотных нерегулярных глаголов в дополнительных придаточных. Активный и пассивный залог в настоящем времени изъявительного наклонения. Предлоги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в пассивных конструкциях.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proofErr w:type="gramStart"/>
            <w:r w:rsidRPr="00B93D8A">
              <w:rPr>
                <w:rFonts w:ascii="Times New Roman" w:hAnsi="Times New Roman"/>
                <w:noProof/>
                <w:sz w:val="24"/>
                <w:szCs w:val="24"/>
              </w:rPr>
              <w:t>Причастия настоящего и прошедшего времени (</w:t>
            </w:r>
            <w:r w:rsidRPr="00B93D8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participe</w:t>
            </w:r>
            <w:r w:rsidRPr="00B93D8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sent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 и  </w:t>
            </w:r>
            <w:r w:rsidRPr="00B93D8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participe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pass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é,  деепричастие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g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rondif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), инфинитивные конструкции после глаголов восприятия.</w:t>
            </w:r>
            <w:proofErr w:type="gramEnd"/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Способы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действия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(venir de faire qch, être en train de faire qch).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Причинные отношения в простом и сложном предложении: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parce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gr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â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à, à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cause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comme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car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. Временные отношения в простых и сложных предложениях. Выражение цели и следствия, условия и гипотезы, сравнения, противопоставления и уступки в простых и сложных предложениях.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Особые формы существительных женского  рода и множественного числа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travail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–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travaux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), особые формы прилагательных женского  рода и множественного числа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beau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belle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long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longue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culturel- culturelle, но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musicale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sp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cial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-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sp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é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ciaux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specials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др.). Частичный артикль с абстрактными и вещественными существительными. Замена артикля предлогом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(в отрицательных конструкциях, после слов, выражающих количество, перед группой прилагательное + существительное). Употребление предлогов и артиклей  перед географическими названиями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France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Chine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au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Canada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du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Japon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)/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Наречия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на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 xml:space="preserve"> –ment, -emment, -amment. 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Степени сравнения прилагательных и наречий, особые случаи их образования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bon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-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meilleur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bien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-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mieux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). Личные местоимения в функции прямых и косвенных дополнений. Ударные и безударные формы личных местоимений. Местоимения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y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. Относительные местоимения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o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ù,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dont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. Указательные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celui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celle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ceux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т. п.) и притяжательные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mien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la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mienne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miens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les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miennes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т. п.) местоимения. Неопределённые прилагательные и местоимения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on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tout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meme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personne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chaque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chacun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quelque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quelqu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'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un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quelques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–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un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plusieurs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). Количественные числительные (свыше 1000), порядковые числительные (свыше 10). Социокультурные особенности употребления количественных и порядковых числительных.</w:t>
            </w:r>
          </w:p>
          <w:p w:rsidR="00157D2D" w:rsidRPr="00B93D8A" w:rsidRDefault="00157D2D" w:rsidP="00A92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Управление распространённых глаголов. Предлоги, служащие для выражения пространственных (à,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dans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sur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sous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entre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vers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) и временных (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pendant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,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depuis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dans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pour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) отношений. Распространённые коннекторы: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pourtant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enfin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d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>'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abord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, 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  <w:lang w:val="en-US"/>
              </w:rPr>
              <w:t>ensuite</w:t>
            </w:r>
            <w:r w:rsidRPr="00B93D8A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и т.д.</w:t>
            </w:r>
          </w:p>
          <w:p w:rsidR="00157D2D" w:rsidRPr="00B274C8" w:rsidRDefault="00157D2D" w:rsidP="00A9266D">
            <w:pPr>
              <w:spacing w:after="0" w:line="240" w:lineRule="auto"/>
              <w:ind w:firstLine="24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D2D" w:rsidRDefault="00157D2D" w:rsidP="00157D2D">
      <w:pPr>
        <w:jc w:val="center"/>
        <w:rPr>
          <w:rFonts w:ascii="Times New Roman" w:hAnsi="Times New Roman"/>
        </w:rPr>
      </w:pPr>
    </w:p>
    <w:p w:rsidR="00157D2D" w:rsidRPr="00DD6F43" w:rsidRDefault="00157D2D" w:rsidP="00157D2D">
      <w:pPr>
        <w:jc w:val="center"/>
        <w:rPr>
          <w:rFonts w:ascii="Times New Roman" w:hAnsi="Times New Roman"/>
          <w:b/>
          <w:sz w:val="28"/>
          <w:szCs w:val="28"/>
        </w:rPr>
      </w:pPr>
      <w:r w:rsidRPr="00DD6F43">
        <w:rPr>
          <w:rFonts w:ascii="Times New Roman" w:hAnsi="Times New Roman"/>
          <w:b/>
          <w:sz w:val="28"/>
          <w:szCs w:val="28"/>
        </w:rPr>
        <w:t>3. Основное содержание учебного предмета</w:t>
      </w: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22"/>
      </w:tblGrid>
      <w:tr w:rsidR="00157D2D" w:rsidRPr="00533457" w:rsidTr="00A9266D">
        <w:trPr>
          <w:trHeight w:val="3358"/>
        </w:trPr>
        <w:tc>
          <w:tcPr>
            <w:tcW w:w="14822" w:type="dxa"/>
            <w:shd w:val="clear" w:color="auto" w:fill="auto"/>
          </w:tcPr>
          <w:tbl>
            <w:tblPr>
              <w:tblW w:w="14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596"/>
            </w:tblGrid>
            <w:tr w:rsidR="00157D2D" w:rsidRPr="00912432" w:rsidTr="00A9266D">
              <w:tc>
                <w:tcPr>
                  <w:tcW w:w="14596" w:type="dxa"/>
                </w:tcPr>
                <w:p w:rsidR="00157D2D" w:rsidRPr="00514E05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lastRenderedPageBreak/>
                    <w:t>Unité 1. Je vais en France</w:t>
                  </w:r>
                </w:p>
                <w:p w:rsidR="00157D2D" w:rsidRPr="00514E05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Путешествие во Францию. Подготовка к путешествию: составление программы путешествия, посещение туристического агентства, бронирование билетов, бронирование номера в отеле, приобретение билетов, отъезд в аэропорт, ожидание рейса, перелёт Москва – Париж и т.д.</w:t>
                  </w:r>
                </w:p>
              </w:tc>
            </w:tr>
            <w:tr w:rsidR="00157D2D" w:rsidRPr="00912432" w:rsidTr="00A9266D">
              <w:tc>
                <w:tcPr>
                  <w:tcW w:w="14596" w:type="dxa"/>
                </w:tcPr>
                <w:p w:rsidR="00157D2D" w:rsidRPr="00036096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Unité 2. Je m’installe à l’hôtel</w:t>
                  </w:r>
                </w:p>
                <w:p w:rsidR="00157D2D" w:rsidRPr="00036096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</w:pP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Встреча</w:t>
                  </w:r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аэропорту</w:t>
                  </w:r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Руасси</w:t>
                  </w:r>
                  <w:proofErr w:type="spellEnd"/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-</w:t>
                  </w: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Шарль</w:t>
                  </w:r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-</w:t>
                  </w: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де</w:t>
                  </w:r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-</w:t>
                  </w: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Голь</w:t>
                  </w:r>
                  <w:r w:rsidRPr="00036096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 xml:space="preserve">. </w:t>
                  </w: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Переезд в отель. Размещение в отеле. Проживание во французском отеле. Краткое описание парижских отелей разной категории. Визитная карточка отеля (местонахождение, цены, номера, предоставляемые услуги и т. д.).</w:t>
                  </w: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  <w:tr w:rsidR="00157D2D" w:rsidRPr="00912432" w:rsidTr="00A9266D">
              <w:tc>
                <w:tcPr>
                  <w:tcW w:w="14596" w:type="dxa"/>
                </w:tcPr>
                <w:p w:rsidR="00157D2D" w:rsidRPr="00036096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Unité 3. Je me promène dans Paris</w:t>
                  </w:r>
                </w:p>
                <w:p w:rsidR="00157D2D" w:rsidRPr="00036096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Первое знакомство с Парижем. Прогулка по Парижу. Знакомство с парижскими кварталами: Латинским кварталом, кварталами Монмартр и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Монпарнас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с набережными Сены и др. Знакомство с некоторыми достопримечательностями Парижа: с бульваром Сен-Мишель, Сорбонной, музеем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Клюни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, Пантеоном и др. План округа (квартала), в котором находится отель. Парижское метро.</w:t>
                  </w:r>
                </w:p>
              </w:tc>
            </w:tr>
            <w:tr w:rsidR="00157D2D" w:rsidRPr="00894C3D" w:rsidTr="00A9266D">
              <w:tc>
                <w:tcPr>
                  <w:tcW w:w="14596" w:type="dxa"/>
                </w:tcPr>
                <w:p w:rsidR="00157D2D" w:rsidRPr="00514E05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Unité 4. Je visite un musée</w:t>
                  </w:r>
                </w:p>
                <w:p w:rsidR="00157D2D" w:rsidRPr="00514E05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Музеи Парижа: Лувр, Национальный центр  искусства и культуры имени Жоржа Помпиду, музей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Орсэ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. Французские импрессионисты: Клод Моне, Огюст Ренуар. Посещение музея. Описание картины художника. Художественное наследие Франции (краткий обзор)</w:t>
                  </w:r>
                </w:p>
              </w:tc>
            </w:tr>
            <w:tr w:rsidR="00157D2D" w:rsidRPr="00912432" w:rsidTr="00A9266D">
              <w:tc>
                <w:tcPr>
                  <w:tcW w:w="14596" w:type="dxa"/>
                </w:tcPr>
                <w:p w:rsidR="00157D2D" w:rsidRPr="00514E05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Unité 5. Je vais au cinéma</w:t>
                  </w: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Французское кино: известные фильмы, актёры, фестивали. Биография и творчество известного французского актёра (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Жерар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Депардье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Катрин Денёв…). Французский игровой фильм (сюжет, игра актёров…). Каннский фестиваль. Киноафиша. Визитная карточка парижского мультиплекса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Gaumont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Aquaboulevard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. Французский фильм об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Астериксе</w:t>
                  </w:r>
                  <w:proofErr w:type="spellEnd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514E05">
                    <w:rPr>
                      <w:rFonts w:ascii="Times New Roman" w:hAnsi="Times New Roman"/>
                      <w:sz w:val="24"/>
                      <w:szCs w:val="24"/>
                    </w:rPr>
                    <w:t>Обеликсе</w:t>
                  </w:r>
                  <w:proofErr w:type="spellEnd"/>
                </w:p>
              </w:tc>
            </w:tr>
            <w:tr w:rsidR="00157D2D" w:rsidRPr="00912432" w:rsidTr="00A9266D">
              <w:tc>
                <w:tcPr>
                  <w:tcW w:w="14596" w:type="dxa"/>
                </w:tcPr>
                <w:p w:rsidR="00157D2D" w:rsidRPr="00036096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514E05">
                    <w:rPr>
                      <w:rFonts w:ascii="Times New Roman" w:hAnsi="Times New Roman"/>
                      <w:sz w:val="24"/>
                      <w:szCs w:val="24"/>
                      <w:lang w:val="fr-FR"/>
                    </w:rPr>
                    <w:t>Unité 6. Je visite des endroits historiques</w:t>
                  </w:r>
                </w:p>
                <w:p w:rsidR="00157D2D" w:rsidRPr="00036096" w:rsidRDefault="00157D2D" w:rsidP="00A9266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Исторические места французской столицы: </w:t>
                  </w:r>
                  <w:proofErr w:type="spellStart"/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Консьержери</w:t>
                  </w:r>
                  <w:proofErr w:type="spellEnd"/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базилика </w:t>
                  </w:r>
                  <w:proofErr w:type="spellStart"/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Сен-Дени</w:t>
                  </w:r>
                  <w:proofErr w:type="spellEnd"/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и др. Некоторые эпизоды французской истории: Великая французская революция, Варфоломеевская ночь и др. Французские короли: Людовик </w:t>
                  </w:r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XIV</w:t>
                  </w:r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Людовик </w:t>
                  </w:r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  <w:lang w:val="en-US"/>
                    </w:rPr>
                    <w:t>XVI</w:t>
                  </w:r>
                  <w:r w:rsidRPr="00514E05">
                    <w:rPr>
                      <w:rStyle w:val="a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…. Замки и резиденции французских королей: Версаль</w:t>
                  </w:r>
                </w:p>
                <w:p w:rsidR="00157D2D" w:rsidRPr="00514E05" w:rsidRDefault="00157D2D" w:rsidP="00A9266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57D2D" w:rsidRPr="00912432" w:rsidRDefault="00157D2D" w:rsidP="00A9266D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</w:tr>
    </w:tbl>
    <w:p w:rsidR="00157D2D" w:rsidRDefault="00157D2D" w:rsidP="00157D2D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679"/>
        <w:gridCol w:w="3424"/>
        <w:gridCol w:w="7513"/>
      </w:tblGrid>
      <w:tr w:rsidR="00157D2D" w:rsidTr="00A9266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часов, на которое рассчитана рабочая программа, график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контрольных и лабораторных работ 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Программа рассчитана на 1 час в неделю</w:t>
            </w:r>
          </w:p>
          <w:p w:rsidR="00157D2D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2D" w:rsidTr="00A9266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уроков в четверти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контрольных работ</w:t>
            </w:r>
          </w:p>
        </w:tc>
      </w:tr>
      <w:tr w:rsidR="00157D2D" w:rsidTr="00A9266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D2D" w:rsidRDefault="00157D2D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D2D" w:rsidTr="00A9266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D2D" w:rsidRDefault="00157D2D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D2D" w:rsidTr="00A9266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D2D" w:rsidRDefault="00157D2D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D2D" w:rsidTr="00A9266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D2D" w:rsidRDefault="00157D2D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D2D" w:rsidRDefault="00157D2D" w:rsidP="00A9266D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7D2D" w:rsidTr="00A9266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2D" w:rsidRDefault="00157D2D" w:rsidP="00A92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Pr="00DC4548" w:rsidRDefault="00157D2D" w:rsidP="00A9266D">
            <w:pPr>
              <w:widowControl w:val="0"/>
              <w:spacing w:after="0" w:line="240" w:lineRule="auto"/>
              <w:ind w:right="-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2D" w:rsidRDefault="00157D2D" w:rsidP="00A92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157D2D" w:rsidRDefault="00157D2D" w:rsidP="00157D2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A207F" w:rsidRDefault="00EA207F"/>
    <w:sectPr w:rsidR="00EA207F" w:rsidSect="00C22B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670"/>
    <w:multiLevelType w:val="hybridMultilevel"/>
    <w:tmpl w:val="EE36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837A1"/>
    <w:multiLevelType w:val="hybridMultilevel"/>
    <w:tmpl w:val="02B67E5E"/>
    <w:lvl w:ilvl="0" w:tplc="C6460A3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7D2D"/>
    <w:rsid w:val="00157D2D"/>
    <w:rsid w:val="00372587"/>
    <w:rsid w:val="009D7AF9"/>
    <w:rsid w:val="00C03A66"/>
    <w:rsid w:val="00C22B2F"/>
    <w:rsid w:val="00EA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+ Полужирный"/>
    <w:basedOn w:val="a0"/>
    <w:rsid w:val="00157D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3658</Words>
  <Characters>20854</Characters>
  <Application>Microsoft Office Word</Application>
  <DocSecurity>0</DocSecurity>
  <Lines>173</Lines>
  <Paragraphs>48</Paragraphs>
  <ScaleCrop>false</ScaleCrop>
  <Company>Microsoft</Company>
  <LinksUpToDate>false</LinksUpToDate>
  <CharactersWithSpaces>24464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2019-12-30T13:13:00Z</dcterms:created>
  <dcterms:modified xsi:type="dcterms:W3CDTF">2021-11-13T07:14:00Z</dcterms:modified>
</cp:coreProperties>
</file>